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7"/>
        <w:rPr>
          <w:rFonts w:ascii="Times New Roman"/>
        </w:rPr>
      </w:pPr>
    </w:p>
    <w:p>
      <w:pPr>
        <w:pStyle w:val="BodyText"/>
        <w:spacing w:before="1"/>
        <w:ind w:left="140"/>
      </w:pPr>
      <w:r>
        <w:rPr>
          <w:spacing w:val="-2"/>
        </w:rPr>
        <w:t>一、依據：</w:t>
      </w:r>
    </w:p>
    <w:p>
      <w:pPr>
        <w:pStyle w:val="Title"/>
        <w:spacing w:before="121"/>
        <w:ind w:left="1621"/>
      </w:pPr>
      <w:r>
        <w:rPr/>
        <w:br w:type="column"/>
      </w:r>
      <w:r>
        <w:rPr>
          <w:spacing w:val="-2"/>
        </w:rPr>
        <w:t>南投縣新豐國民小學</w:t>
      </w:r>
    </w:p>
    <w:p>
      <w:pPr>
        <w:pStyle w:val="Title"/>
        <w:spacing w:line="46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701357</wp:posOffset>
                </wp:positionH>
                <wp:positionV relativeFrom="paragraph">
                  <wp:posOffset>-367665</wp:posOffset>
                </wp:positionV>
                <wp:extent cx="6158865" cy="539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5886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53975">
                              <a:moveTo>
                                <a:pt x="6158865" y="15367"/>
                              </a:moveTo>
                              <a:lnTo>
                                <a:pt x="0" y="15367"/>
                              </a:lnTo>
                              <a:lnTo>
                                <a:pt x="0" y="53467"/>
                              </a:lnTo>
                              <a:lnTo>
                                <a:pt x="6158865" y="53467"/>
                              </a:lnTo>
                              <a:lnTo>
                                <a:pt x="6158865" y="15367"/>
                              </a:lnTo>
                              <a:close/>
                            </a:path>
                            <a:path w="6158865" h="53975">
                              <a:moveTo>
                                <a:pt x="615886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58865" y="7620"/>
                              </a:lnTo>
                              <a:lnTo>
                                <a:pt x="6158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25002pt;margin-top:-28.950037pt;width:484.95pt;height:4.25pt;mso-position-horizontal-relative:page;mso-position-vertical-relative:paragraph;z-index:15728640" id="docshape2" coordorigin="1105,-579" coordsize="9699,85" path="m10804,-555l1105,-555,1105,-495,10804,-495,10804,-555xm10804,-579l1105,-579,1105,-567,10804,-567,10804,-579xe" filled="true" fillcolor="#61232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114</w:t>
      </w:r>
      <w:r>
        <w:rPr>
          <w:spacing w:val="-10"/>
        </w:rPr>
        <w:t> 學年度特殊教育課程與教學調整計畫</w:t>
      </w:r>
    </w:p>
    <w:p>
      <w:pPr>
        <w:spacing w:line="308" w:lineRule="exact" w:before="0"/>
        <w:ind w:left="1940" w:right="0" w:firstLine="0"/>
        <w:jc w:val="left"/>
        <w:rPr>
          <w:sz w:val="24"/>
        </w:rPr>
      </w:pPr>
      <w:r>
        <w:rPr>
          <w:spacing w:val="-6"/>
          <w:sz w:val="24"/>
        </w:rPr>
        <w:t>特殊教育推行委員會 </w:t>
      </w:r>
      <w:r>
        <w:rPr>
          <w:sz w:val="24"/>
        </w:rPr>
        <w:t>114</w:t>
      </w:r>
      <w:r>
        <w:rPr>
          <w:spacing w:val="-41"/>
          <w:sz w:val="24"/>
        </w:rPr>
        <w:t> 年 </w:t>
      </w:r>
      <w:r>
        <w:rPr>
          <w:sz w:val="24"/>
        </w:rPr>
        <w:t>6</w:t>
      </w:r>
      <w:r>
        <w:rPr>
          <w:spacing w:val="-40"/>
          <w:sz w:val="24"/>
        </w:rPr>
        <w:t> 月 </w:t>
      </w:r>
      <w:r>
        <w:rPr>
          <w:sz w:val="24"/>
        </w:rPr>
        <w:t>18</w:t>
      </w:r>
      <w:r>
        <w:rPr>
          <w:spacing w:val="-31"/>
          <w:sz w:val="24"/>
        </w:rPr>
        <w:t> 日第 </w:t>
      </w:r>
      <w:r>
        <w:rPr>
          <w:sz w:val="24"/>
        </w:rPr>
        <w:t>4</w:t>
      </w:r>
      <w:r>
        <w:rPr>
          <w:spacing w:val="-12"/>
          <w:sz w:val="24"/>
        </w:rPr>
        <w:t> 次會議通過</w:t>
      </w:r>
    </w:p>
    <w:p>
      <w:pPr>
        <w:spacing w:after="0" w:line="308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840" w:footer="0" w:top="1060" w:bottom="280" w:left="992" w:right="850"/>
          <w:pgNumType w:start="1"/>
          <w:cols w:num="2" w:equalWidth="0">
            <w:col w:w="1589" w:space="127"/>
            <w:col w:w="8352"/>
          </w:cols>
        </w:sectPr>
      </w:pPr>
    </w:p>
    <w:p>
      <w:pPr>
        <w:pStyle w:val="BodyText"/>
        <w:spacing w:line="352" w:lineRule="exact" w:before="8"/>
        <w:ind w:left="50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32</wp:posOffset>
            </wp:positionV>
            <wp:extent cx="7560308" cy="1067206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8" cy="1067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（一）</w:t>
      </w:r>
      <w:r>
        <w:rPr>
          <w:spacing w:val="-1"/>
        </w:rPr>
        <w:t> 高級中等以下學校特殊教育課程教材教法及評量實施辦法</w:t>
      </w:r>
    </w:p>
    <w:p>
      <w:pPr>
        <w:pStyle w:val="BodyText"/>
        <w:spacing w:line="340" w:lineRule="exact"/>
        <w:ind w:left="500"/>
      </w:pPr>
      <w:r>
        <w:rPr/>
        <w:t>（二）</w:t>
      </w:r>
      <w:r>
        <w:rPr>
          <w:spacing w:val="-1"/>
        </w:rPr>
        <w:t> 十二年國民基本教育課程綱要總綱</w:t>
      </w:r>
    </w:p>
    <w:p>
      <w:pPr>
        <w:pStyle w:val="BodyText"/>
        <w:spacing w:line="352" w:lineRule="exact"/>
        <w:ind w:left="500"/>
      </w:pPr>
      <w:r>
        <w:rPr/>
        <w:t>（三）</w:t>
      </w:r>
      <w:r>
        <w:rPr>
          <w:spacing w:val="-1"/>
        </w:rPr>
        <w:t> 十二年國民基本教育特殊教育課程實施規範</w:t>
      </w:r>
    </w:p>
    <w:p>
      <w:pPr>
        <w:pStyle w:val="BodyText"/>
        <w:spacing w:before="336"/>
        <w:ind w:left="140"/>
      </w:pPr>
      <w:r>
        <w:rPr>
          <w:spacing w:val="-3"/>
        </w:rPr>
        <w:t>二、目的</w:t>
      </w:r>
    </w:p>
    <w:p>
      <w:pPr>
        <w:pStyle w:val="BodyText"/>
        <w:ind w:left="728" w:right="282"/>
        <w:jc w:val="both"/>
      </w:pPr>
      <w:r>
        <w:rPr/>
        <w:t>在十二年國民基本教育課程發展之全人教育精神主軸下，以自發、互動及</w:t>
      </w:r>
      <w:r>
        <w:rPr>
          <w:spacing w:val="-6"/>
        </w:rPr>
        <w:t>共好為理念，適性揚才為願景，因應特殊需求學生之學習差異及學習表現，善用課程調整，重視課程設計與教材之鬆綁，以彈性調整課程、教學方法、</w:t>
      </w:r>
      <w:r>
        <w:rPr>
          <w:spacing w:val="-2"/>
        </w:rPr>
        <w:t>教學歷程等方式進行，以符合特殊需求學生之需求。</w:t>
      </w:r>
    </w:p>
    <w:p>
      <w:pPr>
        <w:pStyle w:val="BodyText"/>
      </w:pPr>
    </w:p>
    <w:p>
      <w:pPr>
        <w:pStyle w:val="BodyText"/>
        <w:ind w:left="140"/>
      </w:pPr>
      <w:r>
        <w:rPr>
          <w:spacing w:val="-2"/>
        </w:rPr>
        <w:t>三、計畫目標</w:t>
      </w:r>
    </w:p>
    <w:p>
      <w:pPr>
        <w:pStyle w:val="BodyText"/>
        <w:ind w:left="980" w:right="281" w:hanging="840"/>
      </w:pPr>
      <w:r>
        <w:rPr>
          <w:spacing w:val="-4"/>
        </w:rPr>
        <w:t>（一</w:t>
      </w:r>
      <w:r>
        <w:rPr>
          <w:spacing w:val="-52"/>
        </w:rPr>
        <w:t>）</w:t>
      </w:r>
      <w:r>
        <w:rPr>
          <w:spacing w:val="-4"/>
        </w:rPr>
        <w:t>依據特教學生需求選用相關核心素養、學習表現與學習內容，以完成其個</w:t>
      </w:r>
      <w:r>
        <w:rPr>
          <w:spacing w:val="-2"/>
        </w:rPr>
        <w:t>別化教育計畫（IEP）之擬訂。</w:t>
      </w:r>
    </w:p>
    <w:p>
      <w:pPr>
        <w:pStyle w:val="BodyText"/>
        <w:spacing w:before="1"/>
        <w:ind w:left="140"/>
      </w:pPr>
      <w:r>
        <w:rPr/>
        <w:t>（二）</w:t>
      </w:r>
      <w:r>
        <w:rPr>
          <w:spacing w:val="-1"/>
        </w:rPr>
        <w:t>以簡化、減量、替代、分解與重整等調整學習內容，自編或改編教材。</w:t>
      </w:r>
    </w:p>
    <w:p>
      <w:pPr>
        <w:pStyle w:val="BodyText"/>
        <w:ind w:left="980" w:right="277" w:hanging="840"/>
      </w:pPr>
      <w:r>
        <w:rPr>
          <w:spacing w:val="-6"/>
        </w:rPr>
        <w:t>（三）因應學生個別需求，採工作分析、多元感官、直接教學、多層次教學、合</w:t>
      </w:r>
      <w:r>
        <w:rPr>
          <w:spacing w:val="-2"/>
        </w:rPr>
        <w:t>作學習、協同教學、區分性教學進行，以達成學習目標。</w:t>
      </w:r>
    </w:p>
    <w:p>
      <w:pPr>
        <w:pStyle w:val="BodyText"/>
        <w:spacing w:before="364"/>
        <w:ind w:left="140"/>
      </w:pPr>
      <w:r>
        <w:rPr>
          <w:spacing w:val="-1"/>
        </w:rPr>
        <w:t>四、學習領域與每週授課時數</w:t>
      </w:r>
    </w:p>
    <w:p>
      <w:pPr>
        <w:pStyle w:val="BodyText"/>
        <w:spacing w:line="225" w:lineRule="auto" w:before="19"/>
        <w:ind w:left="1481" w:right="288" w:hanging="981"/>
        <w:jc w:val="both"/>
      </w:pPr>
      <w:r>
        <w:rPr/>
        <w:t>（一） 依據十二年國民基本教育課程綱要總綱及十二年國民基本教育特殊</w:t>
      </w:r>
      <w:r>
        <w:rPr>
          <w:spacing w:val="-2"/>
        </w:rPr>
        <w:t>教育課程實施規範，開設語文、數學學科課程。</w:t>
      </w:r>
    </w:p>
    <w:p>
      <w:pPr>
        <w:pStyle w:val="BodyText"/>
        <w:spacing w:line="223" w:lineRule="auto"/>
        <w:ind w:left="1481" w:right="284" w:hanging="981"/>
        <w:jc w:val="both"/>
      </w:pPr>
      <w:r>
        <w:rPr>
          <w:spacing w:val="-4"/>
        </w:rPr>
        <w:t>（二）</w:t>
      </w:r>
      <w:r>
        <w:rPr>
          <w:spacing w:val="-5"/>
        </w:rPr>
        <w:t> 視本校特殊教育學生之特殊需求，開設學習策略、社會技巧等特殊需</w:t>
      </w:r>
      <w:r>
        <w:rPr>
          <w:spacing w:val="-2"/>
        </w:rPr>
        <w:t>求領域課程。</w:t>
      </w:r>
    </w:p>
    <w:p>
      <w:pPr>
        <w:pStyle w:val="BodyText"/>
        <w:spacing w:line="223" w:lineRule="auto" w:before="1"/>
        <w:ind w:left="1481" w:right="283" w:hanging="981"/>
        <w:jc w:val="both"/>
      </w:pPr>
      <w:r>
        <w:rPr>
          <w:spacing w:val="-4"/>
        </w:rPr>
        <w:t>（三） 視本校特殊教育學生之學習狀況、特殊需求或相關支持服務，擬訂學</w:t>
      </w:r>
      <w:r>
        <w:rPr>
          <w:spacing w:val="-9"/>
        </w:rPr>
        <w:t>生 </w:t>
      </w:r>
      <w:r>
        <w:rPr>
          <w:spacing w:val="-4"/>
        </w:rPr>
        <w:t>IEP，彙整全校學生需求彙整總表及分組教學一覽表，並規劃學習</w:t>
      </w:r>
      <w:r>
        <w:rPr>
          <w:spacing w:val="-2"/>
        </w:rPr>
        <w:t>領域教學計畫（詳見附件</w:t>
      </w:r>
      <w:r>
        <w:rPr>
          <w:spacing w:val="-140"/>
        </w:rPr>
        <w:t>）</w:t>
      </w:r>
      <w:r>
        <w:rPr>
          <w:spacing w:val="-2"/>
        </w:rPr>
        <w:t>。</w:t>
      </w:r>
    </w:p>
    <w:p>
      <w:pPr>
        <w:pStyle w:val="BodyText"/>
        <w:spacing w:line="225" w:lineRule="auto" w:before="2"/>
        <w:ind w:left="1481" w:right="293" w:hanging="981"/>
        <w:jc w:val="both"/>
      </w:pPr>
      <w:r>
        <w:rPr/>
        <w:t>（四） 學生授課節數依十二年國民基本教育課程綱要各領域學習節數之規</w:t>
      </w:r>
      <w:r>
        <w:rPr>
          <w:spacing w:val="-2"/>
        </w:rPr>
        <w:t>定彈性調整，惟學習總節數不得少於同年級普通班學生。</w:t>
      </w:r>
    </w:p>
    <w:p>
      <w:pPr>
        <w:pStyle w:val="BodyText"/>
        <w:spacing w:before="341"/>
        <w:ind w:left="140"/>
      </w:pPr>
      <w:r>
        <w:rPr>
          <w:spacing w:val="-1"/>
        </w:rPr>
        <w:t>五、課程調整原則及作法</w:t>
      </w:r>
    </w:p>
    <w:p>
      <w:pPr>
        <w:pStyle w:val="Heading1"/>
      </w:pPr>
      <w:r>
        <w:rPr>
          <w:spacing w:val="-4"/>
        </w:rPr>
        <w:t>（一）</w:t>
      </w:r>
      <w:r>
        <w:rPr>
          <w:spacing w:val="-5"/>
        </w:rPr>
        <w:t>學習內容的調整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4" w:after="0"/>
        <w:ind w:left="1120" w:right="10" w:hanging="280"/>
        <w:jc w:val="left"/>
        <w:rPr>
          <w:sz w:val="28"/>
        </w:rPr>
      </w:pPr>
      <w:r>
        <w:rPr>
          <w:spacing w:val="-2"/>
          <w:sz w:val="28"/>
        </w:rPr>
        <w:t>學習功能無缺損之學生：課程需依融合教育理念融入普通班級之中進行，課程之安排需與普通班級學生相同為原則，惟學校需依學生之個別需要，根據其個別化教育計畫會議之決議，提供其學習困難領域之課程調整與 補救教學，以及學習輔具、環境調整、行為介入方案與其他支持策略或相關服務等之協助，並可彈性開設普通教育課程缺乏之特殊需求領域課程。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840" w:footer="0" w:top="1060" w:bottom="280" w:left="992" w:right="850"/>
        </w:sectPr>
      </w:pPr>
    </w:p>
    <w:p>
      <w:pPr>
        <w:pStyle w:val="BodyText"/>
        <w:spacing w:line="84" w:lineRule="exact"/>
        <w:ind w:left="112"/>
        <w:rPr>
          <w:position w:val="-1"/>
          <w:sz w:val="8"/>
        </w:rPr>
      </w:pPr>
      <w:r>
        <w:rPr>
          <w:position w:val="-1"/>
          <w:sz w:val="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1410</wp:posOffset>
            </wp:positionV>
            <wp:extent cx="7519669" cy="106746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669" cy="1067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6158865" cy="5397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58865" cy="53975"/>
                          <a:chExt cx="6158865" cy="539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5886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865" h="53975">
                                <a:moveTo>
                                  <a:pt x="6158865" y="15367"/>
                                </a:moveTo>
                                <a:lnTo>
                                  <a:pt x="0" y="15367"/>
                                </a:lnTo>
                                <a:lnTo>
                                  <a:pt x="0" y="53467"/>
                                </a:lnTo>
                                <a:lnTo>
                                  <a:pt x="6158865" y="53467"/>
                                </a:lnTo>
                                <a:lnTo>
                                  <a:pt x="6158865" y="15367"/>
                                </a:lnTo>
                                <a:close/>
                              </a:path>
                              <a:path w="6158865" h="53975">
                                <a:moveTo>
                                  <a:pt x="6158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158865" y="7620"/>
                                </a:lnTo>
                                <a:lnTo>
                                  <a:pt x="6158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95pt;height:4.25pt;mso-position-horizontal-relative:char;mso-position-vertical-relative:line" id="docshapegroup3" coordorigin="0,0" coordsize="9699,85">
                <v:shape style="position:absolute;left:0;top:0;width:9699;height:85" id="docshape4" coordorigin="0,0" coordsize="9699,85" path="m9699,24l0,24,0,84,9699,84,9699,24xm9699,0l0,0,0,12,9699,12,9699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ListParagraph"/>
        <w:numPr>
          <w:ilvl w:val="0"/>
          <w:numId w:val="1"/>
        </w:numPr>
        <w:tabs>
          <w:tab w:pos="1119" w:val="left" w:leader="none"/>
          <w:tab w:pos="1401" w:val="left" w:leader="none"/>
        </w:tabs>
        <w:spacing w:line="240" w:lineRule="auto" w:before="33" w:after="0"/>
        <w:ind w:left="1401" w:right="282" w:hanging="561"/>
        <w:jc w:val="both"/>
        <w:rPr>
          <w:sz w:val="28"/>
        </w:rPr>
      </w:pPr>
      <w:r>
        <w:rPr>
          <w:spacing w:val="-2"/>
          <w:sz w:val="28"/>
        </w:rPr>
        <w:t>學習功能輕微缺損學生：課程之規劃應與普通學生相同為原則，遵循普通學校課程之規劃安排，惟學校需依學生之個別需要，根據其個別化教育計畫會議之決議，提供其學習困難領域之全部抽離教學或外加式之補救教學，或調整其各領域之節數，以及提供在原普通班所需之學習輔具、環境與評量調整、行為介入方案與其他支持策略或相關服務之協助，並可彈性開設普通教育課程缺乏之特殊需求領域課程。</w:t>
      </w:r>
    </w:p>
    <w:p>
      <w:pPr>
        <w:pStyle w:val="BodyText"/>
        <w:spacing w:before="5"/>
      </w:pPr>
    </w:p>
    <w:p>
      <w:pPr>
        <w:pStyle w:val="Heading1"/>
      </w:pPr>
      <w:r>
        <w:rPr>
          <w:spacing w:val="-4"/>
        </w:rPr>
        <w:t>（二）</w:t>
      </w:r>
      <w:r>
        <w:rPr>
          <w:spacing w:val="-5"/>
        </w:rPr>
        <w:t>學習歷程的調整：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287" w:hanging="280"/>
        <w:jc w:val="left"/>
        <w:rPr>
          <w:sz w:val="28"/>
        </w:rPr>
      </w:pPr>
      <w:r>
        <w:rPr>
          <w:spacing w:val="-2"/>
          <w:sz w:val="28"/>
        </w:rPr>
        <w:t>教學型態依領域需要與人力資源採個別指導、分組教學，團體教學與班</w:t>
      </w:r>
      <w:r>
        <w:rPr>
          <w:spacing w:val="-4"/>
          <w:sz w:val="28"/>
        </w:rPr>
        <w:t>際協同。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285" w:hanging="280"/>
        <w:jc w:val="left"/>
        <w:rPr>
          <w:sz w:val="28"/>
        </w:rPr>
      </w:pPr>
      <w:r>
        <w:rPr>
          <w:spacing w:val="-2"/>
          <w:sz w:val="28"/>
        </w:rPr>
        <w:t>教學時應兼顧教學活動趣味化、分散學習、分段學習、直接教學與立即回饋、應用合作學習、成功的學習經驗化等原則。</w:t>
      </w:r>
    </w:p>
    <w:p>
      <w:pPr>
        <w:pStyle w:val="Heading1"/>
      </w:pPr>
      <w:r>
        <w:rPr>
          <w:spacing w:val="-4"/>
        </w:rPr>
        <w:t>（三）</w:t>
      </w:r>
      <w:r>
        <w:rPr>
          <w:spacing w:val="-5"/>
        </w:rPr>
        <w:t>學習環境的調整：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</w:tabs>
        <w:spacing w:line="240" w:lineRule="auto" w:before="0" w:after="0"/>
        <w:ind w:left="1119" w:right="0" w:hanging="279"/>
        <w:jc w:val="left"/>
        <w:rPr>
          <w:sz w:val="28"/>
        </w:rPr>
      </w:pPr>
      <w:r>
        <w:rPr>
          <w:spacing w:val="-2"/>
          <w:sz w:val="28"/>
        </w:rPr>
        <w:t>教室安排適切位置。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</w:tabs>
        <w:spacing w:line="240" w:lineRule="auto" w:before="0" w:after="0"/>
        <w:ind w:left="1119" w:right="0" w:hanging="279"/>
        <w:jc w:val="left"/>
        <w:rPr>
          <w:sz w:val="28"/>
        </w:rPr>
      </w:pPr>
      <w:r>
        <w:rPr>
          <w:spacing w:val="-1"/>
          <w:sz w:val="28"/>
        </w:rPr>
        <w:t>教室環境佈置，宜設計多元學習環境，以提升特教學生學習效能。</w:t>
      </w:r>
    </w:p>
    <w:p>
      <w:pPr>
        <w:pStyle w:val="Heading1"/>
      </w:pPr>
      <w:r>
        <w:rPr>
          <w:spacing w:val="-4"/>
        </w:rPr>
        <w:t>（四）學習評量方式（定期評量）</w:t>
      </w:r>
      <w:r>
        <w:rPr>
          <w:spacing w:val="-6"/>
        </w:rPr>
        <w:t>的調整：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0" w:after="0"/>
        <w:ind w:left="1120" w:right="216" w:hanging="280"/>
        <w:jc w:val="both"/>
        <w:rPr>
          <w:sz w:val="28"/>
        </w:rPr>
      </w:pPr>
      <w:r>
        <w:rPr>
          <w:spacing w:val="-2"/>
          <w:sz w:val="28"/>
        </w:rPr>
        <w:t>依多元評量方式進行，採優勢評量、動態評量、檔案評量、實作評量、生態評量與課程本位評量等多元評量方式，以充分瞭解學生的學習歷程</w:t>
      </w:r>
      <w:r>
        <w:rPr>
          <w:spacing w:val="-4"/>
          <w:sz w:val="28"/>
        </w:rPr>
        <w:t>與成效。</w:t>
      </w:r>
    </w:p>
    <w:p>
      <w:pPr>
        <w:pStyle w:val="ListParagraph"/>
        <w:numPr>
          <w:ilvl w:val="0"/>
          <w:numId w:val="4"/>
        </w:numPr>
        <w:tabs>
          <w:tab w:pos="1119" w:val="left" w:leader="none"/>
        </w:tabs>
        <w:spacing w:line="240" w:lineRule="auto" w:before="1" w:after="0"/>
        <w:ind w:left="1119" w:right="0" w:hanging="279"/>
        <w:jc w:val="left"/>
        <w:rPr>
          <w:sz w:val="28"/>
        </w:rPr>
      </w:pPr>
      <w:r>
        <w:rPr>
          <w:spacing w:val="-1"/>
          <w:sz w:val="28"/>
        </w:rPr>
        <w:t>善用彈性與適性的評量標準。</w:t>
      </w:r>
    </w:p>
    <w:p>
      <w:pPr>
        <w:pStyle w:val="BodyText"/>
      </w:pPr>
    </w:p>
    <w:p>
      <w:pPr>
        <w:pStyle w:val="BodyText"/>
        <w:ind w:left="140"/>
      </w:pPr>
      <w:r>
        <w:rPr>
          <w:spacing w:val="-1"/>
        </w:rPr>
        <w:t>六、本計畫經特殊教育推行委員會審議通過後實施，修正時亦同。</w:t>
      </w:r>
    </w:p>
    <w:p>
      <w:pPr>
        <w:pStyle w:val="BodyText"/>
      </w:pPr>
    </w:p>
    <w:p>
      <w:pPr>
        <w:pStyle w:val="BodyText"/>
        <w:spacing w:before="56"/>
      </w:pPr>
    </w:p>
    <w:p>
      <w:pPr>
        <w:tabs>
          <w:tab w:pos="3181" w:val="left" w:leader="none"/>
          <w:tab w:pos="6542" w:val="left" w:leader="none"/>
        </w:tabs>
        <w:spacing w:before="0"/>
        <w:ind w:left="140" w:right="0" w:firstLine="0"/>
        <w:jc w:val="left"/>
        <w:rPr>
          <w:sz w:val="32"/>
        </w:rPr>
      </w:pPr>
      <w:r>
        <w:rPr>
          <w:spacing w:val="-2"/>
          <w:sz w:val="32"/>
        </w:rPr>
        <w:t>承辦人</w:t>
      </w:r>
      <w:r>
        <w:rPr>
          <w:spacing w:val="-10"/>
          <w:sz w:val="32"/>
        </w:rPr>
        <w:t>:</w:t>
      </w:r>
      <w:r>
        <w:rPr>
          <w:sz w:val="32"/>
        </w:rPr>
        <w:tab/>
        <w:t>輔導主任</w:t>
      </w:r>
      <w:r>
        <w:rPr>
          <w:spacing w:val="-10"/>
          <w:sz w:val="32"/>
        </w:rPr>
        <w:t>:</w:t>
      </w:r>
      <w:r>
        <w:rPr>
          <w:sz w:val="32"/>
        </w:rPr>
        <w:tab/>
      </w:r>
      <w:r>
        <w:rPr>
          <w:spacing w:val="-2"/>
          <w:sz w:val="32"/>
        </w:rPr>
        <w:t>校長</w:t>
      </w:r>
      <w:r>
        <w:rPr>
          <w:spacing w:val="-10"/>
          <w:sz w:val="32"/>
        </w:rPr>
        <w:t>:</w:t>
      </w:r>
    </w:p>
    <w:sectPr>
      <w:pgSz w:w="11910" w:h="16840"/>
      <w:pgMar w:header="840" w:footer="0" w:top="10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MingLiU_HKSCS">
    <w:altName w:val="MingLiU_HKSCS"/>
    <w:charset w:val="0"/>
    <w:family w:val="roman"/>
    <w:pitch w:val="variable"/>
  </w:font>
  <w:font w:name="PMingLiU">
    <w:altName w:val="PMingLiU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706437</wp:posOffset>
              </wp:positionH>
              <wp:positionV relativeFrom="page">
                <wp:posOffset>528300</wp:posOffset>
              </wp:positionV>
              <wp:extent cx="1485900" cy="1447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859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exact" w:before="20"/>
                            <w:ind w:left="20" w:right="0" w:firstLine="0"/>
                            <w:jc w:val="left"/>
                            <w:rPr>
                              <w:rFonts w:ascii="PMingLiU" w:eastAsia="PMingLiU"/>
                              <w:sz w:val="16"/>
                            </w:rPr>
                          </w:pPr>
                          <w:r>
                            <w:rPr>
                              <w:rFonts w:ascii="Cambria" w:eastAsia="Cambria"/>
                              <w:sz w:val="16"/>
                            </w:rPr>
                            <w:t>C2</w:t>
                          </w:r>
                          <w:r>
                            <w:rPr>
                              <w:rFonts w:ascii="Cambria" w:eastAsia="Cambria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PMingLiU" w:eastAsia="PMingLiU"/>
                              <w:spacing w:val="-1"/>
                              <w:sz w:val="16"/>
                            </w:rPr>
                            <w:t>特殊教育課程與教學調整計畫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25pt;margin-top:41.598427pt;width:117pt;height:11.4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line="208" w:lineRule="exact" w:before="20"/>
                      <w:ind w:left="20" w:right="0" w:firstLine="0"/>
                      <w:jc w:val="left"/>
                      <w:rPr>
                        <w:rFonts w:ascii="PMingLiU" w:eastAsia="PMingLiU"/>
                        <w:sz w:val="16"/>
                      </w:rPr>
                    </w:pPr>
                    <w:r>
                      <w:rPr>
                        <w:rFonts w:ascii="Cambria" w:eastAsia="Cambria"/>
                        <w:sz w:val="16"/>
                      </w:rPr>
                      <w:t>C2</w:t>
                    </w:r>
                    <w:r>
                      <w:rPr>
                        <w:rFonts w:ascii="Cambria" w:eastAsia="Cambria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PMingLiU" w:eastAsia="PMingLiU"/>
                        <w:spacing w:val="-1"/>
                        <w:sz w:val="16"/>
                      </w:rPr>
                      <w:t>特殊教育課程與教學調整計畫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0" w:hanging="28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014" w:hanging="2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909" w:hanging="2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803" w:hanging="2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98" w:hanging="2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93" w:hanging="2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87" w:hanging="2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82" w:hanging="2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76" w:hanging="281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0" w:hanging="28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014" w:hanging="2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909" w:hanging="2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803" w:hanging="2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98" w:hanging="2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93" w:hanging="2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87" w:hanging="2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82" w:hanging="2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76" w:hanging="281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1" w:hanging="28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014" w:hanging="2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909" w:hanging="2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803" w:hanging="2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98" w:hanging="2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93" w:hanging="2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87" w:hanging="2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82" w:hanging="2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76" w:hanging="28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0" w:hanging="281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014" w:hanging="2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909" w:hanging="2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803" w:hanging="2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98" w:hanging="2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93" w:hanging="2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87" w:hanging="2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82" w:hanging="2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276" w:hanging="281"/>
      </w:pPr>
      <w:rPr>
        <w:rFonts w:hint="default"/>
        <w:lang w:val="en-US" w:eastAsia="zh-TW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_HKSCS" w:hAnsi="MingLiU_HKSCS" w:eastAsia="MingLiU_HKSCS" w:cs="MingLiU_HKSCS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ngLiU_HKSCS" w:hAnsi="MingLiU_HKSCS" w:eastAsia="MingLiU_HKSCS" w:cs="MingLiU_HKSCS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MingLiU_HKSCS" w:hAnsi="MingLiU_HKSCS" w:eastAsia="MingLiU_HKSCS" w:cs="MingLiU_HKSCS"/>
      <w:b/>
      <w:bCs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MingLiU_HKSCS" w:hAnsi="MingLiU_HKSCS" w:eastAsia="MingLiU_HKSCS" w:cs="MingLiU_HKSCS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1120" w:hanging="280"/>
    </w:pPr>
    <w:rPr>
      <w:rFonts w:ascii="MingLiU_HKSCS" w:hAnsi="MingLiU_HKSCS" w:eastAsia="MingLiU_HKSCS" w:cs="MingLiU_HKSCS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天才華</dc:creator>
  <dc:title>C2特教班課程與教學調整計畫</dc:title>
  <dcterms:created xsi:type="dcterms:W3CDTF">2025-07-28T03:46:37Z</dcterms:created>
  <dcterms:modified xsi:type="dcterms:W3CDTF">2025-07-28T03:46:37Z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2019</vt:lpwstr>
  </property>
</Properties>
</file>